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A9C" w:rsidRPr="000E288F" w:rsidRDefault="00655A9C" w:rsidP="00655A9C">
      <w:pPr>
        <w:spacing w:line="360" w:lineRule="auto"/>
        <w:jc w:val="both"/>
        <w:rPr>
          <w:b/>
          <w:bCs/>
          <w:spacing w:val="6"/>
          <w:sz w:val="28"/>
          <w:szCs w:val="28"/>
        </w:rPr>
      </w:pPr>
      <w:r w:rsidRPr="000E288F">
        <w:rPr>
          <w:b/>
          <w:bCs/>
          <w:spacing w:val="6"/>
          <w:sz w:val="28"/>
          <w:szCs w:val="28"/>
        </w:rPr>
        <w:t>MARCAJE</w:t>
      </w:r>
    </w:p>
    <w:p w:rsidR="00655A9C" w:rsidRPr="000E288F" w:rsidRDefault="00655A9C" w:rsidP="00655A9C">
      <w:pPr>
        <w:spacing w:line="360" w:lineRule="auto"/>
        <w:ind w:left="720"/>
        <w:jc w:val="both"/>
        <w:rPr>
          <w:spacing w:val="6"/>
        </w:rPr>
      </w:pPr>
      <w:r w:rsidRPr="000E288F">
        <w:rPr>
          <w:spacing w:val="6"/>
        </w:rPr>
        <w:t>Se clasifică după cum urmează:</w:t>
      </w:r>
    </w:p>
    <w:p w:rsidR="00655A9C" w:rsidRPr="000E288F" w:rsidRDefault="00655A9C" w:rsidP="00655A9C">
      <w:pPr>
        <w:numPr>
          <w:ilvl w:val="0"/>
          <w:numId w:val="1"/>
        </w:numPr>
        <w:spacing w:line="360" w:lineRule="auto"/>
        <w:jc w:val="both"/>
        <w:rPr>
          <w:b/>
          <w:bCs/>
          <w:spacing w:val="6"/>
        </w:rPr>
      </w:pPr>
      <w:r w:rsidRPr="000E288F">
        <w:rPr>
          <w:b/>
          <w:bCs/>
          <w:spacing w:val="6"/>
        </w:rPr>
        <w:t>Marcaje longitudinale</w:t>
      </w:r>
    </w:p>
    <w:p w:rsidR="00655A9C" w:rsidRPr="000E288F" w:rsidRDefault="00655A9C" w:rsidP="00655A9C">
      <w:pPr>
        <w:numPr>
          <w:ilvl w:val="0"/>
          <w:numId w:val="2"/>
        </w:numPr>
        <w:spacing w:line="360" w:lineRule="auto"/>
        <w:jc w:val="both"/>
        <w:rPr>
          <w:spacing w:val="6"/>
        </w:rPr>
      </w:pPr>
      <w:r w:rsidRPr="000E288F">
        <w:rPr>
          <w:spacing w:val="6"/>
        </w:rPr>
        <w:t>de separare a sensurilor de circulaţie;</w:t>
      </w:r>
    </w:p>
    <w:p w:rsidR="00655A9C" w:rsidRPr="000E288F" w:rsidRDefault="00655A9C" w:rsidP="00655A9C">
      <w:pPr>
        <w:numPr>
          <w:ilvl w:val="0"/>
          <w:numId w:val="2"/>
        </w:numPr>
        <w:spacing w:line="360" w:lineRule="auto"/>
        <w:jc w:val="both"/>
        <w:rPr>
          <w:spacing w:val="6"/>
        </w:rPr>
      </w:pPr>
      <w:r w:rsidRPr="000E288F">
        <w:rPr>
          <w:spacing w:val="6"/>
        </w:rPr>
        <w:t>de delimitare a părţii carosabile:</w:t>
      </w:r>
    </w:p>
    <w:p w:rsidR="00655A9C" w:rsidRPr="000E288F" w:rsidRDefault="00655A9C" w:rsidP="00655A9C">
      <w:pPr>
        <w:numPr>
          <w:ilvl w:val="0"/>
          <w:numId w:val="3"/>
        </w:numPr>
        <w:spacing w:line="360" w:lineRule="auto"/>
        <w:jc w:val="both"/>
        <w:rPr>
          <w:spacing w:val="6"/>
        </w:rPr>
      </w:pPr>
      <w:r w:rsidRPr="000E288F">
        <w:rPr>
          <w:spacing w:val="6"/>
        </w:rPr>
        <w:t>continue</w:t>
      </w:r>
    </w:p>
    <w:p w:rsidR="00655A9C" w:rsidRPr="000E288F" w:rsidRDefault="00655A9C" w:rsidP="00655A9C">
      <w:pPr>
        <w:numPr>
          <w:ilvl w:val="0"/>
          <w:numId w:val="4"/>
        </w:numPr>
        <w:spacing w:line="360" w:lineRule="auto"/>
        <w:jc w:val="both"/>
        <w:rPr>
          <w:spacing w:val="6"/>
        </w:rPr>
      </w:pPr>
      <w:r w:rsidRPr="000E288F">
        <w:rPr>
          <w:spacing w:val="6"/>
        </w:rPr>
        <w:t>discontinue</w:t>
      </w:r>
    </w:p>
    <w:p w:rsidR="00655A9C" w:rsidRPr="000E288F" w:rsidRDefault="00655A9C" w:rsidP="00655A9C">
      <w:pPr>
        <w:spacing w:line="360" w:lineRule="auto"/>
        <w:ind w:left="360"/>
        <w:jc w:val="both"/>
        <w:rPr>
          <w:spacing w:val="6"/>
        </w:rPr>
      </w:pPr>
      <w:r w:rsidRPr="000E288F">
        <w:rPr>
          <w:spacing w:val="6"/>
        </w:rPr>
        <w:t>c) de delimitare a benzilor de circulaţie:</w:t>
      </w:r>
    </w:p>
    <w:p w:rsidR="00655A9C" w:rsidRPr="000E288F" w:rsidRDefault="00655A9C" w:rsidP="00655A9C">
      <w:pPr>
        <w:numPr>
          <w:ilvl w:val="0"/>
          <w:numId w:val="5"/>
        </w:numPr>
        <w:spacing w:line="360" w:lineRule="auto"/>
        <w:jc w:val="both"/>
        <w:rPr>
          <w:spacing w:val="6"/>
        </w:rPr>
      </w:pPr>
      <w:r w:rsidRPr="000E288F">
        <w:rPr>
          <w:spacing w:val="6"/>
        </w:rPr>
        <w:t>benzi cu circulaţie normală</w:t>
      </w:r>
    </w:p>
    <w:p w:rsidR="00655A9C" w:rsidRPr="000E288F" w:rsidRDefault="00655A9C" w:rsidP="00655A9C">
      <w:pPr>
        <w:numPr>
          <w:ilvl w:val="0"/>
          <w:numId w:val="6"/>
        </w:numPr>
        <w:spacing w:line="360" w:lineRule="auto"/>
        <w:jc w:val="both"/>
        <w:rPr>
          <w:spacing w:val="6"/>
        </w:rPr>
      </w:pPr>
      <w:r w:rsidRPr="000E288F">
        <w:rPr>
          <w:spacing w:val="6"/>
        </w:rPr>
        <w:t>benzi cu circulaţie reversibilă</w:t>
      </w:r>
    </w:p>
    <w:p w:rsidR="00655A9C" w:rsidRPr="000E288F" w:rsidRDefault="00655A9C" w:rsidP="00655A9C">
      <w:pPr>
        <w:numPr>
          <w:ilvl w:val="0"/>
          <w:numId w:val="7"/>
        </w:numPr>
        <w:spacing w:line="360" w:lineRule="auto"/>
        <w:jc w:val="both"/>
        <w:rPr>
          <w:spacing w:val="6"/>
        </w:rPr>
      </w:pPr>
      <w:r w:rsidRPr="000E288F">
        <w:rPr>
          <w:spacing w:val="6"/>
        </w:rPr>
        <w:t xml:space="preserve">benzi de accelerare </w:t>
      </w:r>
      <w:r w:rsidRPr="000E288F">
        <w:t xml:space="preserve">şi </w:t>
      </w:r>
      <w:r w:rsidRPr="000E288F">
        <w:rPr>
          <w:spacing w:val="6"/>
        </w:rPr>
        <w:t>decelerare</w:t>
      </w:r>
    </w:p>
    <w:p w:rsidR="00655A9C" w:rsidRPr="000E288F" w:rsidRDefault="00655A9C" w:rsidP="00655A9C">
      <w:pPr>
        <w:numPr>
          <w:ilvl w:val="0"/>
          <w:numId w:val="8"/>
        </w:numPr>
        <w:spacing w:line="360" w:lineRule="auto"/>
        <w:jc w:val="both"/>
        <w:rPr>
          <w:spacing w:val="6"/>
        </w:rPr>
      </w:pPr>
      <w:r w:rsidRPr="000E288F">
        <w:rPr>
          <w:spacing w:val="6"/>
        </w:rPr>
        <w:t>benzi de urgenţă</w:t>
      </w:r>
      <w:r w:rsidRPr="000E288F">
        <w:rPr>
          <w:spacing w:val="6"/>
        </w:rPr>
        <w:tab/>
        <w:t>pe autostradă</w:t>
      </w:r>
    </w:p>
    <w:p w:rsidR="00655A9C" w:rsidRPr="000E288F" w:rsidRDefault="00655A9C" w:rsidP="00655A9C">
      <w:pPr>
        <w:numPr>
          <w:ilvl w:val="0"/>
          <w:numId w:val="9"/>
        </w:numPr>
        <w:spacing w:line="360" w:lineRule="auto"/>
        <w:jc w:val="both"/>
        <w:rPr>
          <w:spacing w:val="6"/>
        </w:rPr>
      </w:pPr>
      <w:r w:rsidRPr="000E288F">
        <w:rPr>
          <w:spacing w:val="6"/>
        </w:rPr>
        <w:t>benzi rezervate anumitor categorii de vehicule (autobuz, taxi, etc)</w:t>
      </w:r>
    </w:p>
    <w:p w:rsidR="00655A9C" w:rsidRPr="000E288F" w:rsidRDefault="00655A9C" w:rsidP="00655A9C">
      <w:pPr>
        <w:numPr>
          <w:ilvl w:val="0"/>
          <w:numId w:val="10"/>
        </w:numPr>
        <w:spacing w:line="360" w:lineRule="auto"/>
        <w:jc w:val="both"/>
        <w:rPr>
          <w:spacing w:val="6"/>
        </w:rPr>
      </w:pPr>
      <w:r w:rsidRPr="000E288F">
        <w:rPr>
          <w:spacing w:val="6"/>
        </w:rPr>
        <w:t>benzi de stocaj (destinate efectuării virajului la stânga)</w:t>
      </w:r>
    </w:p>
    <w:p w:rsidR="00655A9C" w:rsidRPr="000E288F" w:rsidRDefault="00655A9C" w:rsidP="00655A9C">
      <w:pPr>
        <w:numPr>
          <w:ilvl w:val="0"/>
          <w:numId w:val="11"/>
        </w:numPr>
        <w:spacing w:line="360" w:lineRule="auto"/>
        <w:jc w:val="both"/>
        <w:rPr>
          <w:b/>
          <w:bCs/>
          <w:spacing w:val="6"/>
        </w:rPr>
      </w:pPr>
      <w:r w:rsidRPr="000E288F">
        <w:rPr>
          <w:b/>
          <w:bCs/>
          <w:spacing w:val="6"/>
        </w:rPr>
        <w:t>Marcaje transversale</w:t>
      </w:r>
    </w:p>
    <w:p w:rsidR="00655A9C" w:rsidRPr="000E288F" w:rsidRDefault="00655A9C" w:rsidP="00655A9C">
      <w:pPr>
        <w:numPr>
          <w:ilvl w:val="0"/>
          <w:numId w:val="12"/>
        </w:numPr>
        <w:spacing w:line="360" w:lineRule="auto"/>
        <w:ind w:right="72"/>
        <w:jc w:val="both"/>
        <w:rPr>
          <w:spacing w:val="6"/>
        </w:rPr>
      </w:pPr>
      <w:r w:rsidRPr="000E288F">
        <w:rPr>
          <w:spacing w:val="6"/>
        </w:rPr>
        <w:t xml:space="preserve">marcaj de oprire (oprirea se face înaintea lui, fără a putea fi depăşit, spre </w:t>
      </w:r>
      <w:r w:rsidRPr="000E288F">
        <w:rPr>
          <w:spacing w:val="4"/>
        </w:rPr>
        <w:t>deosebire de indicatorul OPRIRE, care poate fi depăşit, oprirea făcându-se în locul</w:t>
      </w:r>
      <w:r w:rsidRPr="000E288F">
        <w:rPr>
          <w:spacing w:val="6"/>
        </w:rPr>
        <w:t xml:space="preserve"> de maximă vizibilitate)</w:t>
      </w:r>
    </w:p>
    <w:p w:rsidR="00655A9C" w:rsidRPr="000E288F" w:rsidRDefault="00655A9C" w:rsidP="00655A9C">
      <w:pPr>
        <w:numPr>
          <w:ilvl w:val="0"/>
          <w:numId w:val="12"/>
        </w:numPr>
        <w:spacing w:line="360" w:lineRule="auto"/>
        <w:ind w:left="360" w:firstLine="0"/>
        <w:jc w:val="both"/>
        <w:rPr>
          <w:spacing w:val="6"/>
        </w:rPr>
      </w:pPr>
      <w:r w:rsidRPr="000E288F">
        <w:rPr>
          <w:spacing w:val="6"/>
        </w:rPr>
        <w:t>marcaj de cedare a trecerii</w:t>
      </w:r>
    </w:p>
    <w:p w:rsidR="00655A9C" w:rsidRPr="000E288F" w:rsidRDefault="00655A9C" w:rsidP="00655A9C">
      <w:pPr>
        <w:numPr>
          <w:ilvl w:val="0"/>
          <w:numId w:val="12"/>
        </w:numPr>
        <w:spacing w:line="360" w:lineRule="auto"/>
        <w:ind w:left="360" w:firstLine="0"/>
        <w:jc w:val="both"/>
        <w:rPr>
          <w:spacing w:val="6"/>
        </w:rPr>
      </w:pPr>
      <w:r w:rsidRPr="000E288F">
        <w:rPr>
          <w:spacing w:val="6"/>
        </w:rPr>
        <w:t>marcaj de traversare pentru pietoni</w:t>
      </w:r>
    </w:p>
    <w:p w:rsidR="00655A9C" w:rsidRPr="000E288F" w:rsidRDefault="00655A9C" w:rsidP="00655A9C">
      <w:pPr>
        <w:numPr>
          <w:ilvl w:val="0"/>
          <w:numId w:val="12"/>
        </w:numPr>
        <w:spacing w:line="360" w:lineRule="auto"/>
        <w:ind w:left="360" w:firstLine="0"/>
        <w:jc w:val="both"/>
        <w:rPr>
          <w:spacing w:val="6"/>
        </w:rPr>
      </w:pPr>
      <w:r w:rsidRPr="000E288F">
        <w:rPr>
          <w:spacing w:val="6"/>
        </w:rPr>
        <w:t>marcaj de traversare pentru biciclişti</w:t>
      </w:r>
    </w:p>
    <w:p w:rsidR="00655A9C" w:rsidRPr="000E288F" w:rsidRDefault="00655A9C" w:rsidP="00655A9C">
      <w:pPr>
        <w:numPr>
          <w:ilvl w:val="0"/>
          <w:numId w:val="13"/>
        </w:numPr>
        <w:spacing w:line="360" w:lineRule="auto"/>
        <w:jc w:val="both"/>
        <w:rPr>
          <w:spacing w:val="6"/>
        </w:rPr>
      </w:pPr>
      <w:r w:rsidRPr="000E288F">
        <w:rPr>
          <w:b/>
          <w:bCs/>
          <w:spacing w:val="6"/>
        </w:rPr>
        <w:t>Marcaje laterale</w:t>
      </w:r>
      <w:r w:rsidRPr="000E288F">
        <w:rPr>
          <w:spacing w:val="6"/>
        </w:rPr>
        <w:t xml:space="preserve"> - aceste marcaje se aplică pe:</w:t>
      </w:r>
    </w:p>
    <w:p w:rsidR="00655A9C" w:rsidRPr="000E288F" w:rsidRDefault="00655A9C" w:rsidP="00655A9C">
      <w:pPr>
        <w:numPr>
          <w:ilvl w:val="0"/>
          <w:numId w:val="14"/>
        </w:numPr>
        <w:spacing w:line="360" w:lineRule="auto"/>
        <w:jc w:val="both"/>
        <w:rPr>
          <w:spacing w:val="6"/>
        </w:rPr>
      </w:pPr>
      <w:r w:rsidRPr="000E288F">
        <w:rPr>
          <w:spacing w:val="6"/>
        </w:rPr>
        <w:t>lucrări de artă (poduri, pasaje denivelate, ziduri de sprijin, etc.)</w:t>
      </w:r>
    </w:p>
    <w:p w:rsidR="00655A9C" w:rsidRPr="000E288F" w:rsidRDefault="00655A9C" w:rsidP="00655A9C">
      <w:pPr>
        <w:numPr>
          <w:ilvl w:val="0"/>
          <w:numId w:val="14"/>
        </w:numPr>
        <w:spacing w:line="360" w:lineRule="auto"/>
        <w:jc w:val="both"/>
        <w:rPr>
          <w:spacing w:val="6"/>
        </w:rPr>
      </w:pPr>
      <w:r w:rsidRPr="000E288F">
        <w:rPr>
          <w:spacing w:val="6"/>
        </w:rPr>
        <w:t>parapete</w:t>
      </w:r>
    </w:p>
    <w:p w:rsidR="00655A9C" w:rsidRPr="000E288F" w:rsidRDefault="00655A9C" w:rsidP="00655A9C">
      <w:pPr>
        <w:numPr>
          <w:ilvl w:val="0"/>
          <w:numId w:val="14"/>
        </w:numPr>
        <w:spacing w:line="360" w:lineRule="auto"/>
        <w:jc w:val="both"/>
        <w:rPr>
          <w:spacing w:val="6"/>
        </w:rPr>
      </w:pPr>
      <w:r w:rsidRPr="000E288F">
        <w:rPr>
          <w:spacing w:val="6"/>
        </w:rPr>
        <w:t>stâlpi şi copaci</w:t>
      </w:r>
    </w:p>
    <w:p w:rsidR="00655A9C" w:rsidRPr="000E288F" w:rsidRDefault="00655A9C" w:rsidP="00655A9C">
      <w:pPr>
        <w:numPr>
          <w:ilvl w:val="0"/>
          <w:numId w:val="14"/>
        </w:numPr>
        <w:spacing w:line="360" w:lineRule="auto"/>
        <w:jc w:val="both"/>
        <w:rPr>
          <w:spacing w:val="6"/>
        </w:rPr>
      </w:pPr>
      <w:r w:rsidRPr="000E288F">
        <w:rPr>
          <w:spacing w:val="6"/>
        </w:rPr>
        <w:t>borduri</w:t>
      </w:r>
    </w:p>
    <w:p w:rsidR="00655A9C" w:rsidRPr="000E288F" w:rsidRDefault="00655A9C" w:rsidP="00655A9C">
      <w:pPr>
        <w:spacing w:line="360" w:lineRule="auto"/>
        <w:ind w:left="96"/>
        <w:jc w:val="both"/>
        <w:rPr>
          <w:b/>
          <w:bCs/>
          <w:spacing w:val="6"/>
        </w:rPr>
      </w:pPr>
      <w:r w:rsidRPr="000E288F">
        <w:rPr>
          <w:b/>
          <w:bCs/>
          <w:spacing w:val="6"/>
        </w:rPr>
        <w:t>4. Marcaje diverse</w:t>
      </w:r>
    </w:p>
    <w:p w:rsidR="00655A9C" w:rsidRPr="000E288F" w:rsidRDefault="00655A9C" w:rsidP="00655A9C">
      <w:pPr>
        <w:spacing w:line="360" w:lineRule="auto"/>
        <w:ind w:left="366"/>
        <w:jc w:val="both"/>
        <w:rPr>
          <w:spacing w:val="6"/>
        </w:rPr>
      </w:pPr>
      <w:r w:rsidRPr="000E288F">
        <w:rPr>
          <w:spacing w:val="6"/>
        </w:rPr>
        <w:t>a) marcaj de ghidare (în intersecţii)</w:t>
      </w:r>
    </w:p>
    <w:p w:rsidR="00655A9C" w:rsidRPr="000E288F" w:rsidRDefault="00655A9C" w:rsidP="00655A9C">
      <w:pPr>
        <w:spacing w:line="360" w:lineRule="auto"/>
        <w:ind w:left="366"/>
        <w:jc w:val="both"/>
        <w:rPr>
          <w:spacing w:val="6"/>
        </w:rPr>
      </w:pPr>
      <w:r w:rsidRPr="000E288F">
        <w:rPr>
          <w:spacing w:val="6"/>
        </w:rPr>
        <w:t>b) marcaj pentru spaţii interzise</w:t>
      </w:r>
    </w:p>
    <w:p w:rsidR="00655A9C" w:rsidRPr="000E288F" w:rsidRDefault="00655A9C" w:rsidP="00655A9C">
      <w:pPr>
        <w:spacing w:line="360" w:lineRule="auto"/>
        <w:ind w:left="366"/>
        <w:jc w:val="both"/>
        <w:rPr>
          <w:spacing w:val="6"/>
        </w:rPr>
      </w:pPr>
      <w:r w:rsidRPr="000E288F">
        <w:rPr>
          <w:spacing w:val="6"/>
        </w:rPr>
        <w:t>c) marcaj de interzicere a staţionării</w:t>
      </w:r>
    </w:p>
    <w:p w:rsidR="00655A9C" w:rsidRPr="000E288F" w:rsidRDefault="00655A9C" w:rsidP="00655A9C">
      <w:pPr>
        <w:spacing w:line="360" w:lineRule="auto"/>
        <w:ind w:left="366"/>
        <w:jc w:val="both"/>
        <w:rPr>
          <w:spacing w:val="6"/>
        </w:rPr>
      </w:pPr>
      <w:r w:rsidRPr="000E288F">
        <w:rPr>
          <w:spacing w:val="6"/>
        </w:rPr>
        <w:t>d) marcaj pentru staţii de autobuz, troleu sau taxi</w:t>
      </w:r>
    </w:p>
    <w:p w:rsidR="00655A9C" w:rsidRPr="000E288F" w:rsidRDefault="00655A9C" w:rsidP="00655A9C">
      <w:pPr>
        <w:spacing w:line="360" w:lineRule="auto"/>
        <w:ind w:left="366"/>
        <w:jc w:val="both"/>
        <w:rPr>
          <w:spacing w:val="6"/>
        </w:rPr>
      </w:pPr>
      <w:r w:rsidRPr="000E288F">
        <w:rPr>
          <w:spacing w:val="6"/>
        </w:rPr>
        <w:t>e) marcaj pentru locuri de parcare</w:t>
      </w:r>
    </w:p>
    <w:p w:rsidR="00655A9C" w:rsidRPr="000E288F" w:rsidRDefault="00655A9C" w:rsidP="00655A9C">
      <w:pPr>
        <w:spacing w:line="360" w:lineRule="auto"/>
        <w:ind w:left="366"/>
        <w:jc w:val="both"/>
        <w:rPr>
          <w:spacing w:val="6"/>
        </w:rPr>
      </w:pPr>
      <w:r w:rsidRPr="000E288F">
        <w:rPr>
          <w:spacing w:val="6"/>
        </w:rPr>
        <w:t>f) săgeţi sau inscripţii (de ex. săgeţi de repliere, care obligă revenirea pe bandă)</w:t>
      </w:r>
    </w:p>
    <w:p w:rsidR="00655A9C" w:rsidRPr="000E288F" w:rsidRDefault="00655A9C" w:rsidP="00655A9C">
      <w:pPr>
        <w:spacing w:line="360" w:lineRule="auto"/>
        <w:ind w:left="366"/>
        <w:jc w:val="both"/>
        <w:rPr>
          <w:spacing w:val="6"/>
        </w:rPr>
      </w:pPr>
      <w:r w:rsidRPr="000E288F">
        <w:rPr>
          <w:spacing w:val="6"/>
        </w:rPr>
        <w:t>g) marcaj de reducere a vitezei</w:t>
      </w:r>
    </w:p>
    <w:p w:rsidR="00655A9C" w:rsidRPr="000E288F" w:rsidRDefault="00655A9C" w:rsidP="00655A9C">
      <w:pPr>
        <w:spacing w:line="360" w:lineRule="auto"/>
        <w:ind w:firstLine="366"/>
        <w:jc w:val="both"/>
        <w:rPr>
          <w:spacing w:val="6"/>
        </w:rPr>
      </w:pPr>
      <w:r w:rsidRPr="000E288F">
        <w:rPr>
          <w:spacing w:val="6"/>
        </w:rPr>
        <w:lastRenderedPageBreak/>
        <w:t>h) marcaje rezonatoare - pe autostrăzi pentru delimitarea locurilor periculoase (spinări de măgar).</w:t>
      </w:r>
    </w:p>
    <w:p w:rsidR="00655A9C" w:rsidRPr="000E288F" w:rsidRDefault="00655A9C" w:rsidP="00655A9C">
      <w:pPr>
        <w:spacing w:after="124" w:line="20" w:lineRule="exact"/>
        <w:jc w:val="both"/>
      </w:pPr>
    </w:p>
    <w:p w:rsidR="00655A9C" w:rsidRPr="000E288F" w:rsidRDefault="00655A9C" w:rsidP="00655A9C">
      <w:pPr>
        <w:spacing w:line="360" w:lineRule="auto"/>
        <w:ind w:firstLine="366"/>
        <w:jc w:val="both"/>
        <w:rPr>
          <w:spacing w:val="6"/>
        </w:rPr>
      </w:pPr>
      <w:r w:rsidRPr="000E288F">
        <w:rPr>
          <w:spacing w:val="6"/>
        </w:rPr>
        <w:t xml:space="preserve">Marcajul longitudinal de separare a sensurilor de circulaţie prin linie discontinuă are caracter orientativ putând fi încălcat pentru efectuarea manevrei de depăşire de către oricare din participanţii la trafic indiferent de direcţia din care </w:t>
      </w:r>
      <w:r w:rsidRPr="000E288F">
        <w:rPr>
          <w:spacing w:val="4"/>
        </w:rPr>
        <w:t>circulă, după o prealabilă semnalizare</w:t>
      </w:r>
      <w:r w:rsidRPr="000E288F">
        <w:rPr>
          <w:spacing w:val="6"/>
        </w:rPr>
        <w:t xml:space="preserve"> </w:t>
      </w:r>
      <w:r w:rsidRPr="000E288F">
        <w:rPr>
          <w:spacing w:val="-2"/>
        </w:rPr>
        <w:t xml:space="preserve">şi </w:t>
      </w:r>
      <w:r w:rsidRPr="000E288F">
        <w:rPr>
          <w:spacing w:val="4"/>
        </w:rPr>
        <w:t>asigurare că manevra se poate face fără pericol</w:t>
      </w:r>
      <w:r w:rsidRPr="000E288F">
        <w:rPr>
          <w:spacing w:val="6"/>
        </w:rPr>
        <w:t xml:space="preserve"> pentru cei care îl urmează, îl preced sau urmează să se intersecteze. Delimitarea extremităţii părţii carosabile prin linie discontinuă are acelaşi caracter de orientare (ghidare), permiţând conducătorilor de vehicule să-1 încalce în situaţia când doresc să iasă în afara părţii carosabile pentru a oprii vehiculul.</w:t>
      </w:r>
    </w:p>
    <w:p w:rsidR="00655A9C" w:rsidRPr="000E288F" w:rsidRDefault="00655A9C" w:rsidP="00655A9C">
      <w:pPr>
        <w:spacing w:line="360" w:lineRule="auto"/>
        <w:ind w:firstLine="366"/>
        <w:jc w:val="both"/>
        <w:rPr>
          <w:spacing w:val="6"/>
        </w:rPr>
      </w:pPr>
      <w:r w:rsidRPr="000E288F">
        <w:rPr>
          <w:spacing w:val="4"/>
        </w:rPr>
        <w:t>Marcajul longitudinal format dintr-o linie continuă simplă sau dublă interzice</w:t>
      </w:r>
      <w:r w:rsidRPr="000E288F">
        <w:rPr>
          <w:spacing w:val="6"/>
        </w:rPr>
        <w:t xml:space="preserve"> trecerea cu vehiculul peste el. Dacă o asemenea linie separă sensurile de circulaţie, se interzice trecerea pe partea opusă sensului de mers.</w:t>
      </w:r>
    </w:p>
    <w:p w:rsidR="00655A9C" w:rsidRPr="000E288F" w:rsidRDefault="00655A9C" w:rsidP="00655A9C">
      <w:pPr>
        <w:spacing w:line="360" w:lineRule="auto"/>
        <w:ind w:firstLine="366"/>
        <w:jc w:val="both"/>
        <w:rPr>
          <w:spacing w:val="4"/>
        </w:rPr>
      </w:pPr>
      <w:r w:rsidRPr="000E288F">
        <w:rPr>
          <w:spacing w:val="4"/>
        </w:rPr>
        <w:t>Linia discontinuă simplă este destinată:</w:t>
      </w:r>
    </w:p>
    <w:p w:rsidR="00655A9C" w:rsidRPr="000E288F" w:rsidRDefault="00655A9C" w:rsidP="00655A9C">
      <w:pPr>
        <w:numPr>
          <w:ilvl w:val="0"/>
          <w:numId w:val="15"/>
        </w:numPr>
        <w:spacing w:line="360" w:lineRule="auto"/>
        <w:jc w:val="both"/>
        <w:rPr>
          <w:spacing w:val="4"/>
        </w:rPr>
      </w:pPr>
      <w:r w:rsidRPr="000E288F">
        <w:rPr>
          <w:spacing w:val="4"/>
        </w:rPr>
        <w:t>delimitării benzilor în vederea ordonării circulaţiei, caz în care intervalul dintre segmentele de linie este considerabil mai mare decât lungimea acestora;</w:t>
      </w:r>
    </w:p>
    <w:p w:rsidR="00655A9C" w:rsidRPr="000E288F" w:rsidRDefault="00655A9C" w:rsidP="00655A9C">
      <w:pPr>
        <w:numPr>
          <w:ilvl w:val="0"/>
          <w:numId w:val="15"/>
        </w:numPr>
        <w:spacing w:line="360" w:lineRule="auto"/>
        <w:jc w:val="both"/>
        <w:rPr>
          <w:spacing w:val="4"/>
        </w:rPr>
      </w:pPr>
      <w:r w:rsidRPr="000E288F">
        <w:rPr>
          <w:spacing w:val="4"/>
        </w:rPr>
        <w:t>anunţării apropierii de o linie continuă a interdicţiei impuse de aceasta sau apropierea de un alt loc ce prezintă un risc particular, cazuri în care intervalul dintre segmentele de linie este considerabil mai mic decât lungimea lor.</w:t>
      </w:r>
    </w:p>
    <w:p w:rsidR="00655A9C" w:rsidRPr="000E288F" w:rsidRDefault="00655A9C" w:rsidP="00655A9C">
      <w:pPr>
        <w:spacing w:line="360" w:lineRule="auto"/>
        <w:ind w:firstLine="720"/>
        <w:jc w:val="both"/>
        <w:rPr>
          <w:spacing w:val="4"/>
        </w:rPr>
      </w:pPr>
      <w:r w:rsidRPr="000E288F">
        <w:rPr>
          <w:spacing w:val="4"/>
        </w:rPr>
        <w:t>În cazul marcajului mixt de separare a sensurilor de circulaţie, o linie continuă dublată de una discontinuă se va respecta semnificaţia liniei celei mai apropiate de autovehicul în sensul de deplasare.</w:t>
      </w:r>
    </w:p>
    <w:p w:rsidR="00655A9C" w:rsidRPr="000E288F" w:rsidRDefault="00655A9C" w:rsidP="00655A9C">
      <w:pPr>
        <w:spacing w:line="360" w:lineRule="auto"/>
        <w:ind w:firstLine="720"/>
        <w:jc w:val="both"/>
        <w:rPr>
          <w:spacing w:val="4"/>
        </w:rPr>
      </w:pPr>
      <w:r w:rsidRPr="000E288F">
        <w:rPr>
          <w:spacing w:val="4"/>
        </w:rPr>
        <w:t>Delimitarea extremităţii părţii carosabile prin line continuă are caracter de interzicere a încălcării ei.</w:t>
      </w:r>
    </w:p>
    <w:p w:rsidR="00655A9C" w:rsidRPr="000E288F" w:rsidRDefault="00655A9C" w:rsidP="00655A9C">
      <w:pPr>
        <w:spacing w:line="360" w:lineRule="auto"/>
        <w:ind w:firstLine="720"/>
        <w:jc w:val="both"/>
      </w:pPr>
      <w:r w:rsidRPr="000E288F">
        <w:rPr>
          <w:spacing w:val="4"/>
        </w:rPr>
        <w:t xml:space="preserve">Benzile cu circulaţie reversibilă sunt dispuse lângă axul drumului sunt </w:t>
      </w:r>
      <w:r w:rsidRPr="000E288F">
        <w:rPr>
          <w:spacing w:val="2"/>
        </w:rPr>
        <w:t>materializate prin linii duble discontinue. Sunt însoţite permanent de semnale luminoase</w:t>
      </w:r>
      <w:r w:rsidRPr="000E288F">
        <w:rPr>
          <w:spacing w:val="4"/>
        </w:rPr>
        <w:t xml:space="preserve"> care precizează modul de folosire a acestora. Semnalul luminos de culoare </w:t>
      </w:r>
      <w:r w:rsidRPr="000E288F">
        <w:rPr>
          <w:spacing w:val="34"/>
        </w:rPr>
        <w:t>roşie</w:t>
      </w:r>
      <w:r w:rsidRPr="000E288F">
        <w:rPr>
          <w:spacing w:val="4"/>
        </w:rPr>
        <w:t xml:space="preserve"> sub forma a două bare încrucişate în diagonală interzice circulaţia pe banda respectivă, semnalul luminos verde sub forma unei săgeţi orientate cu vârful către în jos permite circulaţia pe banda respectivă, iar semnalul luminos intermediar de culoare galbenă sub forma unei săgeţi în diagonală cu vârful orientat către dreapta jos anunţă conducătorii de vehicule că trebuie să părăsească banda în direcţia indicată de săgeată întrucât banda respectivă urmează să se închidă.</w:t>
      </w:r>
      <w:r w:rsidRPr="000E288F">
        <w:t xml:space="preserve"> </w:t>
      </w:r>
    </w:p>
    <w:p w:rsidR="00655A9C" w:rsidRPr="000E288F" w:rsidRDefault="00655A9C" w:rsidP="00655A9C">
      <w:pPr>
        <w:spacing w:line="360" w:lineRule="auto"/>
        <w:ind w:firstLine="936"/>
        <w:jc w:val="both"/>
        <w:rPr>
          <w:spacing w:val="6"/>
        </w:rPr>
      </w:pPr>
      <w:r w:rsidRPr="000E288F">
        <w:rPr>
          <w:spacing w:val="6"/>
        </w:rPr>
        <w:t>Banda de decelerare se foloseşte pentru executarea virajului la dreapta de pe un drum prioritar sau de pe o autostradă. La executarea virajului la dreapta, conducătorii de vehicule fiind obligaţi să reducă viteza de deplasare, ar stânjeni circulaţia celorlalte vehicule.</w:t>
      </w:r>
    </w:p>
    <w:p w:rsidR="00655A9C" w:rsidRPr="000E288F" w:rsidRDefault="00655A9C" w:rsidP="00655A9C">
      <w:pPr>
        <w:spacing w:line="360" w:lineRule="auto"/>
        <w:ind w:firstLine="720"/>
        <w:jc w:val="both"/>
        <w:rPr>
          <w:spacing w:val="6"/>
        </w:rPr>
      </w:pPr>
      <w:r w:rsidRPr="000E288F">
        <w:rPr>
          <w:spacing w:val="4"/>
        </w:rPr>
        <w:lastRenderedPageBreak/>
        <w:t>Banda de accelerare se materializează pentru crearea posibilităţii pătrunderii</w:t>
      </w:r>
      <w:r w:rsidRPr="000E288F">
        <w:rPr>
          <w:spacing w:val="6"/>
        </w:rPr>
        <w:t xml:space="preserve"> pe artere intens circulate prevăzute cu mai multe benzi de circulaţie, prin viraj stânga. Această bandă creează posibilitatea conducătorilor de vehicule să poată efectua schimbarea benzii de circulaţie fără a stânjeni în deplasare vehiculele care circulă pe banda respectivă. Înainte de a intra pe banda prioritară situată lângă acostament conducătorii de vehicule trebuie să semnalizeze, să se asigure că intrarea se face fără pericol pentru vehiculele care circulă pe acea bandă, ţinând cont de poziţie şi viteza de deplasare a acestora.</w:t>
      </w:r>
    </w:p>
    <w:p w:rsidR="00655A9C" w:rsidRPr="000E288F" w:rsidRDefault="00655A9C" w:rsidP="00655A9C">
      <w:pPr>
        <w:spacing w:line="360" w:lineRule="auto"/>
        <w:ind w:firstLine="720"/>
        <w:jc w:val="both"/>
        <w:rPr>
          <w:spacing w:val="6"/>
        </w:rPr>
      </w:pPr>
      <w:r w:rsidRPr="000E288F">
        <w:rPr>
          <w:spacing w:val="6"/>
        </w:rPr>
        <w:t xml:space="preserve">Avertizarea conducătorilor de vehicule despre apropierea de o bandă destinată vehiculelor </w:t>
      </w:r>
      <w:r w:rsidRPr="000E288F">
        <w:rPr>
          <w:spacing w:val="4"/>
        </w:rPr>
        <w:t>lente se realizează prin indicatorul cu aceeaşi semnificaţie,</w:t>
      </w:r>
      <w:r w:rsidRPr="000E288F">
        <w:rPr>
          <w:spacing w:val="6"/>
        </w:rPr>
        <w:t xml:space="preserve"> uneori fiind precedat de o tăbliţă adiţională care indică distanţa până la bandă.</w:t>
      </w:r>
    </w:p>
    <w:p w:rsidR="00655A9C" w:rsidRPr="000E288F" w:rsidRDefault="00655A9C" w:rsidP="00655A9C">
      <w:pPr>
        <w:spacing w:line="360" w:lineRule="auto"/>
        <w:ind w:firstLine="720"/>
        <w:jc w:val="both"/>
        <w:rPr>
          <w:spacing w:val="6"/>
        </w:rPr>
      </w:pPr>
      <w:r w:rsidRPr="000E288F">
        <w:rPr>
          <w:spacing w:val="6"/>
        </w:rPr>
        <w:t>Banda suplimentară pentru vehicule lente se materializează prin marcaj longitudinal în general în situaţia drumurilor în rampă pentru fluidizarea circulaţiei atunci când pe sectorul de drum respectiv circulă vehicule lente.</w:t>
      </w:r>
    </w:p>
    <w:p w:rsidR="00655A9C" w:rsidRPr="000E288F" w:rsidRDefault="00655A9C" w:rsidP="00655A9C">
      <w:pPr>
        <w:spacing w:line="360" w:lineRule="auto"/>
        <w:ind w:firstLine="576"/>
        <w:jc w:val="both"/>
        <w:rPr>
          <w:spacing w:val="6"/>
        </w:rPr>
      </w:pPr>
      <w:r w:rsidRPr="000E288F">
        <w:rPr>
          <w:spacing w:val="6"/>
        </w:rPr>
        <w:t xml:space="preserve">Banda de stocare se materializează în zona de preselecţie pentru </w:t>
      </w:r>
      <w:r w:rsidRPr="000E288F">
        <w:rPr>
          <w:spacing w:val="4"/>
        </w:rPr>
        <w:t>executarea virajului la stânga în scopul realizării posibilităţii vehiculelor care virează la</w:t>
      </w:r>
      <w:r w:rsidRPr="000E288F">
        <w:rPr>
          <w:spacing w:val="6"/>
        </w:rPr>
        <w:t xml:space="preserve"> stânga să oprească să acorde prioritate vehiculelor care circulă din sens opus.</w:t>
      </w:r>
    </w:p>
    <w:p w:rsidR="00655A9C" w:rsidRPr="000E288F" w:rsidRDefault="00655A9C" w:rsidP="00655A9C">
      <w:pPr>
        <w:spacing w:line="360" w:lineRule="auto"/>
        <w:ind w:firstLine="576"/>
        <w:jc w:val="both"/>
        <w:rPr>
          <w:spacing w:val="6"/>
        </w:rPr>
      </w:pPr>
      <w:r w:rsidRPr="000E288F">
        <w:rPr>
          <w:spacing w:val="5"/>
        </w:rPr>
        <w:t>Marcajul transversal constând dintr-o linie continuă, aplicată pe lăţimea uneia sau</w:t>
      </w:r>
      <w:r w:rsidRPr="000E288F">
        <w:rPr>
          <w:spacing w:val="6"/>
        </w:rPr>
        <w:t xml:space="preserve"> mai multor benzi, indică linia înaintea căreia vehiculul trebuie oprit la întâlnirea indicatorului "Oprire". Un asemenea marcaj poate fi folosit pentru a indica linia de oprire impusă printr-un semnal luminos, printr-o comandă a agentului care dirijează circulaţia, de prezenţa unei treceri la nivel cu o cale ferată, cu o linie de tramvai sau a unei treceri pentru pietoni. Înaintea marcajului ce însoţeşte indicatorul "Oprire" se poate aplica pe partea carosabilă inscripţia "STOP". </w:t>
      </w:r>
      <w:r w:rsidRPr="000E288F">
        <w:rPr>
          <w:spacing w:val="4"/>
        </w:rPr>
        <w:t>Marcajul transversal constând dintr-o linie discontinuă, aplicată pe lăţimea uneia</w:t>
      </w:r>
      <w:r w:rsidRPr="000E288F">
        <w:rPr>
          <w:spacing w:val="6"/>
        </w:rPr>
        <w:t xml:space="preserve"> sau mai multor benzi, indică linia care nu trebuie depăşită atunci când se impune cedarea trecerii. Înaintea unei asemenea linii se poate aplica pe partea carosabilă un marcaj sub formă de triunghi având o latură paralelă cu linia discontinuă, iar vârful îndreptat spre vehiculul care se apropie.</w:t>
      </w:r>
    </w:p>
    <w:p w:rsidR="00655A9C" w:rsidRPr="000E288F" w:rsidRDefault="00655A9C" w:rsidP="00655A9C">
      <w:pPr>
        <w:spacing w:line="360" w:lineRule="auto"/>
        <w:ind w:firstLine="576"/>
        <w:jc w:val="both"/>
        <w:rPr>
          <w:spacing w:val="4"/>
        </w:rPr>
      </w:pPr>
      <w:r w:rsidRPr="000E288F">
        <w:rPr>
          <w:spacing w:val="4"/>
        </w:rPr>
        <w:t>Marcajul aplicat în afara benzilor, format din linii paralele, înconjurate sau nu cu o linie de contur, delimitează spaţiul interzis circulaţiei.</w:t>
      </w:r>
    </w:p>
    <w:p w:rsidR="00655A9C" w:rsidRPr="000E288F" w:rsidRDefault="00655A9C" w:rsidP="00655A9C">
      <w:pPr>
        <w:spacing w:line="360" w:lineRule="auto"/>
        <w:ind w:right="360" w:firstLine="576"/>
        <w:jc w:val="both"/>
        <w:rPr>
          <w:spacing w:val="4"/>
        </w:rPr>
      </w:pPr>
      <w:r w:rsidRPr="000E288F">
        <w:rPr>
          <w:spacing w:val="2"/>
        </w:rPr>
        <w:t>Marcajul format dintr-o linie continuă</w:t>
      </w:r>
      <w:r w:rsidRPr="000E288F">
        <w:rPr>
          <w:spacing w:val="4"/>
        </w:rPr>
        <w:t xml:space="preserve"> aplicată pe bordura trotuarului sau la marginea părţii carosabile interzice staţionarea vehiculelor pe acea parte a drumului. Când o asemenea linie însoţeşte un indicator de interzicere a staţionării, aceasta precizează lungimea sectorului de drum pe care este valabilă interzicerea. Marcajul format dintr-o linie în zig-zag semnifică interzicerea staţionării vehiculelor pe partea drumului pe care este aplicat.</w:t>
      </w:r>
    </w:p>
    <w:p w:rsidR="00655A9C" w:rsidRPr="000E288F" w:rsidRDefault="00655A9C" w:rsidP="00655A9C">
      <w:pPr>
        <w:spacing w:line="360" w:lineRule="auto"/>
        <w:ind w:firstLine="576"/>
        <w:jc w:val="both"/>
        <w:rPr>
          <w:spacing w:val="2"/>
        </w:rPr>
      </w:pPr>
      <w:r w:rsidRPr="000E288F">
        <w:rPr>
          <w:spacing w:val="4"/>
        </w:rPr>
        <w:t xml:space="preserve">O astfel de linie completată cu înscrisul "BUS" sau "TAXI" poate fi folosită pentru </w:t>
      </w:r>
      <w:r w:rsidRPr="000E288F">
        <w:rPr>
          <w:spacing w:val="4"/>
        </w:rPr>
        <w:lastRenderedPageBreak/>
        <w:t xml:space="preserve">semnalizarea staţiilor de autobuze </w:t>
      </w:r>
      <w:r w:rsidRPr="000E288F">
        <w:t xml:space="preserve">şi </w:t>
      </w:r>
      <w:r w:rsidRPr="000E288F">
        <w:rPr>
          <w:spacing w:val="4"/>
        </w:rPr>
        <w:t xml:space="preserve">troleibuze, respectiv de taximetre. Săgeata de repliere care este </w:t>
      </w:r>
      <w:r w:rsidRPr="000E288F">
        <w:rPr>
          <w:spacing w:val="2"/>
        </w:rPr>
        <w:t xml:space="preserve">oblică faţă de axul drumului, aplicată </w:t>
      </w:r>
      <w:r w:rsidRPr="000E288F">
        <w:rPr>
          <w:spacing w:val="4"/>
        </w:rPr>
        <w:t xml:space="preserve">pe o bandă sau intercalate într-un marcaj longitudinal format din linii discontinue, semnalizează obligaţia </w:t>
      </w:r>
      <w:r w:rsidRPr="000E288F">
        <w:rPr>
          <w:spacing w:val="2"/>
        </w:rPr>
        <w:t>ca vehiculul care nu se află pe banda</w:t>
      </w:r>
      <w:r w:rsidRPr="000E288F">
        <w:rPr>
          <w:spacing w:val="4"/>
        </w:rPr>
        <w:t xml:space="preserve"> </w:t>
      </w:r>
      <w:r w:rsidRPr="000E288F">
        <w:rPr>
          <w:spacing w:val="2"/>
        </w:rPr>
        <w:t xml:space="preserve">indicată de săgeată să fie condus pe aceea bandă. </w:t>
      </w:r>
    </w:p>
    <w:p w:rsidR="00655A9C" w:rsidRPr="000E288F" w:rsidRDefault="00655A9C" w:rsidP="00655A9C">
      <w:pPr>
        <w:spacing w:line="360" w:lineRule="auto"/>
        <w:ind w:firstLine="576"/>
        <w:jc w:val="both"/>
        <w:rPr>
          <w:spacing w:val="2"/>
        </w:rPr>
      </w:pPr>
      <w:r w:rsidRPr="000E288F">
        <w:rPr>
          <w:spacing w:val="6"/>
        </w:rPr>
        <w:t xml:space="preserve">Marcajul sub forma unei sau unor săgeţi, aplicate pe banda </w:t>
      </w:r>
      <w:r w:rsidRPr="000E288F">
        <w:t xml:space="preserve">sau </w:t>
      </w:r>
      <w:r w:rsidRPr="000E288F">
        <w:rPr>
          <w:spacing w:val="6"/>
        </w:rPr>
        <w:t xml:space="preserve">pe benzile delimitate prin linii continue, </w:t>
      </w:r>
      <w:r w:rsidRPr="000E288F">
        <w:rPr>
          <w:spacing w:val="4"/>
        </w:rPr>
        <w:t>obligă la urmarea direcţiei sau direcţiilor</w:t>
      </w:r>
      <w:r w:rsidRPr="000E288F">
        <w:rPr>
          <w:spacing w:val="6"/>
        </w:rPr>
        <w:t xml:space="preserve"> astfel indicate.</w:t>
      </w:r>
    </w:p>
    <w:p w:rsidR="00655A9C" w:rsidRPr="000E288F" w:rsidRDefault="00655A9C" w:rsidP="00655A9C">
      <w:pPr>
        <w:spacing w:line="360" w:lineRule="auto"/>
        <w:ind w:firstLine="576"/>
        <w:jc w:val="both"/>
        <w:rPr>
          <w:spacing w:val="2"/>
        </w:rPr>
      </w:pPr>
      <w:r w:rsidRPr="000E288F">
        <w:rPr>
          <w:spacing w:val="6"/>
        </w:rPr>
        <w:t>Marcajele cum sunt: săgeţile,</w:t>
      </w:r>
      <w:r w:rsidRPr="000E288F">
        <w:rPr>
          <w:spacing w:val="2"/>
        </w:rPr>
        <w:t xml:space="preserve"> </w:t>
      </w:r>
      <w:r w:rsidRPr="000E288F">
        <w:rPr>
          <w:spacing w:val="6"/>
        </w:rPr>
        <w:t>inscripţii1e, liniile paralele sau oblice, pot</w:t>
      </w:r>
      <w:r w:rsidRPr="000E288F">
        <w:rPr>
          <w:spacing w:val="2"/>
        </w:rPr>
        <w:t xml:space="preserve"> </w:t>
      </w:r>
      <w:r w:rsidRPr="000E288F">
        <w:rPr>
          <w:spacing w:val="6"/>
        </w:rPr>
        <w:t>fi folosite pentru a repeta semnificaţia</w:t>
      </w:r>
      <w:r w:rsidRPr="000E288F">
        <w:rPr>
          <w:spacing w:val="2"/>
        </w:rPr>
        <w:t xml:space="preserve"> </w:t>
      </w:r>
      <w:r w:rsidRPr="000E288F">
        <w:rPr>
          <w:spacing w:val="6"/>
        </w:rPr>
        <w:t>indicatoarelor sau pentru a da participanţilor la trafic</w:t>
      </w:r>
      <w:r w:rsidRPr="000E288F">
        <w:rPr>
          <w:spacing w:val="2"/>
        </w:rPr>
        <w:t xml:space="preserve"> </w:t>
      </w:r>
      <w:r w:rsidRPr="000E288F">
        <w:rPr>
          <w:spacing w:val="6"/>
        </w:rPr>
        <w:t>indicaţii care nu le pot fi furnizate, în mod adecvat, prin indicatoare.</w:t>
      </w:r>
    </w:p>
    <w:p w:rsidR="00655A9C" w:rsidRPr="000E288F" w:rsidRDefault="00655A9C" w:rsidP="00655A9C">
      <w:pPr>
        <w:spacing w:line="360" w:lineRule="auto"/>
        <w:ind w:firstLine="576"/>
        <w:jc w:val="both"/>
        <w:rPr>
          <w:spacing w:val="4"/>
        </w:rPr>
      </w:pPr>
    </w:p>
    <w:p w:rsidR="00655A9C" w:rsidRPr="000E288F" w:rsidRDefault="00655A9C" w:rsidP="00655A9C">
      <w:pPr>
        <w:spacing w:line="360" w:lineRule="auto"/>
        <w:ind w:firstLine="720"/>
        <w:jc w:val="both"/>
      </w:pPr>
    </w:p>
    <w:p w:rsidR="00A54FEC" w:rsidRDefault="00A54FEC"/>
    <w:sectPr w:rsidR="00A54FEC" w:rsidSect="00655A9C">
      <w:footerReference w:type="default" r:id="rId5"/>
      <w:pgSz w:w="11904" w:h="16843"/>
      <w:pgMar w:top="1134" w:right="1134" w:bottom="1134" w:left="1134" w:header="708" w:footer="1023"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88F" w:rsidRDefault="00655A9C" w:rsidP="00000E7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6468D" w:rsidRDefault="00655A9C" w:rsidP="000E288F">
    <w:pP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4F4"/>
    <w:multiLevelType w:val="singleLevel"/>
    <w:tmpl w:val="04CAEEB8"/>
    <w:lvl w:ilvl="0">
      <w:numFmt w:val="bullet"/>
      <w:lvlText w:val="·"/>
      <w:lvlJc w:val="left"/>
      <w:pPr>
        <w:tabs>
          <w:tab w:val="num" w:pos="1152"/>
        </w:tabs>
        <w:ind w:left="864"/>
      </w:pPr>
      <w:rPr>
        <w:rFonts w:ascii="Symbol" w:hAnsi="Symbol" w:cs="Symbol" w:hint="default"/>
        <w:color w:val="000000"/>
      </w:rPr>
    </w:lvl>
  </w:abstractNum>
  <w:abstractNum w:abstractNumId="1">
    <w:nsid w:val="0749A0D7"/>
    <w:multiLevelType w:val="singleLevel"/>
    <w:tmpl w:val="4C1B48AD"/>
    <w:lvl w:ilvl="0">
      <w:numFmt w:val="bullet"/>
      <w:lvlText w:val="·"/>
      <w:lvlJc w:val="left"/>
      <w:pPr>
        <w:tabs>
          <w:tab w:val="num" w:pos="1152"/>
        </w:tabs>
        <w:ind w:left="864"/>
      </w:pPr>
      <w:rPr>
        <w:rFonts w:ascii="Symbol" w:hAnsi="Symbol" w:cs="Symbol" w:hint="default"/>
        <w:color w:val="000000"/>
      </w:rPr>
    </w:lvl>
  </w:abstractNum>
  <w:abstractNum w:abstractNumId="2">
    <w:nsid w:val="09D15A9E"/>
    <w:multiLevelType w:val="singleLevel"/>
    <w:tmpl w:val="10A943D0"/>
    <w:lvl w:ilvl="0">
      <w:numFmt w:val="bullet"/>
      <w:lvlText w:val="·"/>
      <w:lvlJc w:val="left"/>
      <w:pPr>
        <w:tabs>
          <w:tab w:val="num" w:pos="1152"/>
        </w:tabs>
        <w:ind w:left="864"/>
      </w:pPr>
      <w:rPr>
        <w:rFonts w:ascii="Symbol" w:hAnsi="Symbol" w:cs="Symbol" w:hint="default"/>
        <w:color w:val="000000"/>
      </w:rPr>
    </w:lvl>
  </w:abstractNum>
  <w:abstractNum w:abstractNumId="3">
    <w:nsid w:val="0AAA5DA4"/>
    <w:multiLevelType w:val="singleLevel"/>
    <w:tmpl w:val="6C0BA9C2"/>
    <w:lvl w:ilvl="0">
      <w:start w:val="1"/>
      <w:numFmt w:val="lowerLetter"/>
      <w:lvlText w:val="%1)"/>
      <w:lvlJc w:val="left"/>
      <w:pPr>
        <w:tabs>
          <w:tab w:val="num" w:pos="648"/>
        </w:tabs>
        <w:ind w:left="576" w:hanging="216"/>
      </w:pPr>
      <w:rPr>
        <w:color w:val="000000"/>
      </w:rPr>
    </w:lvl>
  </w:abstractNum>
  <w:abstractNum w:abstractNumId="4">
    <w:nsid w:val="0AE50FFF"/>
    <w:multiLevelType w:val="singleLevel"/>
    <w:tmpl w:val="025EA3FF"/>
    <w:lvl w:ilvl="0">
      <w:start w:val="3"/>
      <w:numFmt w:val="decimal"/>
      <w:lvlText w:val="%1."/>
      <w:lvlJc w:val="left"/>
      <w:pPr>
        <w:tabs>
          <w:tab w:val="num" w:pos="360"/>
        </w:tabs>
        <w:ind w:left="72"/>
      </w:pPr>
      <w:rPr>
        <w:color w:val="000000"/>
      </w:rPr>
    </w:lvl>
  </w:abstractNum>
  <w:abstractNum w:abstractNumId="5">
    <w:nsid w:val="160228FF"/>
    <w:multiLevelType w:val="singleLevel"/>
    <w:tmpl w:val="62E55750"/>
    <w:lvl w:ilvl="0">
      <w:start w:val="1"/>
      <w:numFmt w:val="lowerLetter"/>
      <w:lvlText w:val="%1)"/>
      <w:lvlJc w:val="left"/>
      <w:pPr>
        <w:tabs>
          <w:tab w:val="num" w:pos="648"/>
        </w:tabs>
        <w:ind w:left="288"/>
      </w:pPr>
      <w:rPr>
        <w:color w:val="000000"/>
      </w:rPr>
    </w:lvl>
  </w:abstractNum>
  <w:abstractNum w:abstractNumId="6">
    <w:nsid w:val="1E7C99C2"/>
    <w:multiLevelType w:val="singleLevel"/>
    <w:tmpl w:val="1C842994"/>
    <w:lvl w:ilvl="0">
      <w:numFmt w:val="bullet"/>
      <w:lvlText w:val="·"/>
      <w:lvlJc w:val="left"/>
      <w:pPr>
        <w:tabs>
          <w:tab w:val="num" w:pos="1152"/>
        </w:tabs>
        <w:ind w:left="864"/>
      </w:pPr>
      <w:rPr>
        <w:rFonts w:ascii="Symbol" w:hAnsi="Symbol" w:cs="Symbol" w:hint="default"/>
        <w:color w:val="000000"/>
      </w:rPr>
    </w:lvl>
  </w:abstractNum>
  <w:abstractNum w:abstractNumId="7">
    <w:nsid w:val="212A0BAF"/>
    <w:multiLevelType w:val="singleLevel"/>
    <w:tmpl w:val="7ECD9D1A"/>
    <w:lvl w:ilvl="0">
      <w:numFmt w:val="bullet"/>
      <w:lvlText w:val="·"/>
      <w:lvlJc w:val="left"/>
      <w:pPr>
        <w:tabs>
          <w:tab w:val="num" w:pos="1152"/>
        </w:tabs>
        <w:ind w:left="864"/>
      </w:pPr>
      <w:rPr>
        <w:rFonts w:ascii="Symbol" w:hAnsi="Symbol" w:cs="Symbol" w:hint="default"/>
        <w:color w:val="000000"/>
      </w:rPr>
    </w:lvl>
  </w:abstractNum>
  <w:abstractNum w:abstractNumId="8">
    <w:nsid w:val="4378CDF9"/>
    <w:multiLevelType w:val="singleLevel"/>
    <w:tmpl w:val="5A9E13A1"/>
    <w:lvl w:ilvl="0">
      <w:start w:val="1"/>
      <w:numFmt w:val="decimal"/>
      <w:lvlText w:val="%1."/>
      <w:lvlJc w:val="left"/>
      <w:pPr>
        <w:tabs>
          <w:tab w:val="num" w:pos="360"/>
        </w:tabs>
        <w:ind w:left="72"/>
      </w:pPr>
      <w:rPr>
        <w:color w:val="000000"/>
      </w:rPr>
    </w:lvl>
  </w:abstractNum>
  <w:abstractNum w:abstractNumId="9">
    <w:nsid w:val="4420A391"/>
    <w:multiLevelType w:val="singleLevel"/>
    <w:tmpl w:val="181E00A7"/>
    <w:lvl w:ilvl="0">
      <w:numFmt w:val="bullet"/>
      <w:lvlText w:val="·"/>
      <w:lvlJc w:val="left"/>
      <w:pPr>
        <w:tabs>
          <w:tab w:val="num" w:pos="1152"/>
        </w:tabs>
        <w:ind w:left="864"/>
      </w:pPr>
      <w:rPr>
        <w:rFonts w:ascii="Symbol" w:hAnsi="Symbol" w:cs="Symbol" w:hint="default"/>
        <w:color w:val="000000"/>
      </w:rPr>
    </w:lvl>
  </w:abstractNum>
  <w:abstractNum w:abstractNumId="10">
    <w:nsid w:val="462F3F90"/>
    <w:multiLevelType w:val="singleLevel"/>
    <w:tmpl w:val="2D257A32"/>
    <w:lvl w:ilvl="0">
      <w:start w:val="1"/>
      <w:numFmt w:val="lowerLetter"/>
      <w:lvlText w:val="%1)"/>
      <w:lvlJc w:val="left"/>
      <w:pPr>
        <w:tabs>
          <w:tab w:val="num" w:pos="648"/>
        </w:tabs>
        <w:ind w:left="360"/>
      </w:pPr>
      <w:rPr>
        <w:color w:val="000000"/>
      </w:rPr>
    </w:lvl>
  </w:abstractNum>
  <w:abstractNum w:abstractNumId="11">
    <w:nsid w:val="4B660DA3"/>
    <w:multiLevelType w:val="singleLevel"/>
    <w:tmpl w:val="35EA8F27"/>
    <w:lvl w:ilvl="0">
      <w:start w:val="2"/>
      <w:numFmt w:val="decimal"/>
      <w:lvlText w:val="%1."/>
      <w:lvlJc w:val="left"/>
      <w:pPr>
        <w:tabs>
          <w:tab w:val="num" w:pos="360"/>
        </w:tabs>
        <w:ind w:left="72"/>
      </w:pPr>
      <w:rPr>
        <w:color w:val="000000"/>
      </w:rPr>
    </w:lvl>
  </w:abstractNum>
  <w:abstractNum w:abstractNumId="12">
    <w:nsid w:val="61435EB8"/>
    <w:multiLevelType w:val="singleLevel"/>
    <w:tmpl w:val="19609D0B"/>
    <w:lvl w:ilvl="0">
      <w:numFmt w:val="bullet"/>
      <w:lvlText w:val="·"/>
      <w:lvlJc w:val="left"/>
      <w:pPr>
        <w:tabs>
          <w:tab w:val="num" w:pos="1152"/>
        </w:tabs>
        <w:ind w:left="864"/>
      </w:pPr>
      <w:rPr>
        <w:rFonts w:ascii="Symbol" w:hAnsi="Symbol" w:cs="Symbol" w:hint="default"/>
        <w:color w:val="000000"/>
      </w:rPr>
    </w:lvl>
  </w:abstractNum>
  <w:abstractNum w:abstractNumId="13">
    <w:nsid w:val="6B947F7A"/>
    <w:multiLevelType w:val="singleLevel"/>
    <w:tmpl w:val="6331CA42"/>
    <w:lvl w:ilvl="0">
      <w:start w:val="1"/>
      <w:numFmt w:val="lowerLetter"/>
      <w:lvlText w:val="%1)"/>
      <w:lvlJc w:val="left"/>
      <w:pPr>
        <w:tabs>
          <w:tab w:val="num" w:pos="1368"/>
        </w:tabs>
        <w:ind w:firstLine="1080"/>
      </w:pPr>
      <w:rPr>
        <w:color w:val="000000"/>
      </w:rPr>
    </w:lvl>
  </w:abstractNum>
  <w:abstractNum w:abstractNumId="14">
    <w:nsid w:val="6D2654A2"/>
    <w:multiLevelType w:val="singleLevel"/>
    <w:tmpl w:val="535C4194"/>
    <w:lvl w:ilvl="0">
      <w:numFmt w:val="bullet"/>
      <w:lvlText w:val="·"/>
      <w:lvlJc w:val="left"/>
      <w:pPr>
        <w:tabs>
          <w:tab w:val="num" w:pos="1152"/>
        </w:tabs>
        <w:ind w:left="864"/>
      </w:pPr>
      <w:rPr>
        <w:rFonts w:ascii="Symbol" w:hAnsi="Symbol" w:cs="Symbol" w:hint="default"/>
        <w:color w:val="000000"/>
      </w:rPr>
    </w:lvl>
  </w:abstractNum>
  <w:num w:numId="1">
    <w:abstractNumId w:val="8"/>
  </w:num>
  <w:num w:numId="2">
    <w:abstractNumId w:val="5"/>
  </w:num>
  <w:num w:numId="3">
    <w:abstractNumId w:val="2"/>
  </w:num>
  <w:num w:numId="4">
    <w:abstractNumId w:val="1"/>
  </w:num>
  <w:num w:numId="5">
    <w:abstractNumId w:val="9"/>
  </w:num>
  <w:num w:numId="6">
    <w:abstractNumId w:val="6"/>
  </w:num>
  <w:num w:numId="7">
    <w:abstractNumId w:val="7"/>
  </w:num>
  <w:num w:numId="8">
    <w:abstractNumId w:val="14"/>
  </w:num>
  <w:num w:numId="9">
    <w:abstractNumId w:val="12"/>
  </w:num>
  <w:num w:numId="10">
    <w:abstractNumId w:val="0"/>
  </w:num>
  <w:num w:numId="11">
    <w:abstractNumId w:val="11"/>
  </w:num>
  <w:num w:numId="12">
    <w:abstractNumId w:val="3"/>
  </w:num>
  <w:num w:numId="13">
    <w:abstractNumId w:val="4"/>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655A9C"/>
    <w:rsid w:val="00655A9C"/>
    <w:rsid w:val="00A54F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9C"/>
    <w:pPr>
      <w:widowControl w:val="0"/>
      <w:autoSpaceDE w:val="0"/>
      <w:autoSpaceDN w:val="0"/>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5A9C"/>
    <w:pPr>
      <w:tabs>
        <w:tab w:val="center" w:pos="4536"/>
        <w:tab w:val="right" w:pos="9072"/>
      </w:tabs>
    </w:pPr>
  </w:style>
  <w:style w:type="character" w:customStyle="1" w:styleId="FooterChar">
    <w:name w:val="Footer Char"/>
    <w:basedOn w:val="DefaultParagraphFont"/>
    <w:link w:val="Footer"/>
    <w:uiPriority w:val="99"/>
    <w:rsid w:val="00655A9C"/>
    <w:rPr>
      <w:rFonts w:ascii="Times New Roman" w:eastAsia="Times New Roman" w:hAnsi="Times New Roman" w:cs="Times New Roman"/>
      <w:sz w:val="24"/>
      <w:szCs w:val="24"/>
      <w:lang w:val="ro-RO" w:eastAsia="ro-RO"/>
    </w:rPr>
  </w:style>
  <w:style w:type="character" w:styleId="PageNumber">
    <w:name w:val="page number"/>
    <w:basedOn w:val="DefaultParagraphFont"/>
    <w:uiPriority w:val="99"/>
    <w:rsid w:val="00655A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1142</Words>
  <Characters>6511</Characters>
  <Application>Microsoft Office Word</Application>
  <DocSecurity>0</DocSecurity>
  <Lines>54</Lines>
  <Paragraphs>15</Paragraphs>
  <ScaleCrop>false</ScaleCrop>
  <Company/>
  <LinksUpToDate>false</LinksUpToDate>
  <CharactersWithSpaces>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VeronicA</cp:lastModifiedBy>
  <cp:revision>1</cp:revision>
  <dcterms:created xsi:type="dcterms:W3CDTF">2020-03-17T14:59:00Z</dcterms:created>
  <dcterms:modified xsi:type="dcterms:W3CDTF">2020-03-17T15:00:00Z</dcterms:modified>
</cp:coreProperties>
</file>