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04" w:rsidRDefault="00D25404" w:rsidP="00D25404">
      <w:pPr>
        <w:ind w:firstLine="900"/>
        <w:jc w:val="center"/>
        <w:rPr>
          <w:b/>
          <w:bCs/>
          <w:sz w:val="32"/>
          <w:szCs w:val="32"/>
          <w:lang w:val="fr-FR"/>
        </w:rPr>
      </w:pPr>
      <w:r w:rsidRPr="00B2181D">
        <w:rPr>
          <w:b/>
          <w:bCs/>
          <w:sz w:val="32"/>
          <w:szCs w:val="32"/>
          <w:lang w:val="fr-FR"/>
        </w:rPr>
        <w:t>REGLEMENTĂRI INTERNAŢIONALE PRIVIND TRANSPORTUL</w:t>
      </w:r>
    </w:p>
    <w:p w:rsidR="00D25404" w:rsidRDefault="00D25404" w:rsidP="00D25404">
      <w:pPr>
        <w:ind w:firstLine="993"/>
        <w:jc w:val="center"/>
        <w:rPr>
          <w:b/>
          <w:bCs/>
          <w:sz w:val="32"/>
          <w:szCs w:val="32"/>
          <w:lang w:val="fr-FR"/>
        </w:rPr>
      </w:pPr>
    </w:p>
    <w:p w:rsidR="00D25404" w:rsidRPr="00B2181D" w:rsidRDefault="00D25404" w:rsidP="00D25404">
      <w:pPr>
        <w:ind w:firstLine="993"/>
        <w:jc w:val="center"/>
        <w:rPr>
          <w:b/>
          <w:bCs/>
          <w:sz w:val="32"/>
          <w:szCs w:val="32"/>
          <w:lang w:val="fr-FR"/>
        </w:rPr>
      </w:pP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În fiecare ţară au apărut reglementări care stabilesc condiţiile tehnice pe care trebuie să le îndeplinească camioanele străine pentru a fi admise să circule pe drumurile naţionale.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În cazul preocupărilor internaţionale pentru unificarea normelor privind transporturile rutiere au fost elaborate mai multe convenţii care facilitează dezvoltarea transporturilor rutiere, existând însă şi acorduri multilaterale şi bilaterale în acest sens.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Printre cele mai importante reglementări de care trebuie să se ţină seama la efectuarea transporturilor internaţionale sunt: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Convenţia referitoare la contractul de transport internaţional rutier(CMR);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Convenţia vamală referitoare la transporturile internaţionale de mărfuri;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Convenţia internaţională referitoare la transportul mărfurilor perisabile;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Privind semnalizarea rutieră;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Pentru asigurarea împotriva răspunderii civile (cartea verde);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Convenţia vamală pentru importul temporar al autovehiculelor rutiere;</w:t>
      </w:r>
    </w:p>
    <w:p w:rsidR="00D25404" w:rsidRDefault="00D25404" w:rsidP="00D25404">
      <w:pPr>
        <w:numPr>
          <w:ilvl w:val="0"/>
          <w:numId w:val="1"/>
        </w:numPr>
        <w:ind w:left="0" w:firstLine="993"/>
        <w:jc w:val="both"/>
        <w:rPr>
          <w:bCs/>
          <w:sz w:val="28"/>
        </w:rPr>
      </w:pPr>
      <w:r>
        <w:rPr>
          <w:bCs/>
          <w:sz w:val="28"/>
        </w:rPr>
        <w:t>Acordul European privind transportul internaţional de mărfuri periculoase.</w:t>
      </w:r>
    </w:p>
    <w:p w:rsidR="00D25404" w:rsidRDefault="00D25404" w:rsidP="00D25404">
      <w:pPr>
        <w:jc w:val="both"/>
        <w:rPr>
          <w:bCs/>
          <w:sz w:val="28"/>
        </w:rPr>
      </w:pPr>
    </w:p>
    <w:p w:rsidR="00D25404" w:rsidRDefault="00D25404" w:rsidP="00D25404">
      <w:pPr>
        <w:ind w:firstLine="993"/>
        <w:jc w:val="both"/>
        <w:rPr>
          <w:bCs/>
          <w:sz w:val="28"/>
        </w:rPr>
      </w:pPr>
    </w:p>
    <w:p w:rsidR="00D25404" w:rsidRPr="00B2181D" w:rsidRDefault="00D25404" w:rsidP="00D25404">
      <w:pPr>
        <w:jc w:val="center"/>
        <w:rPr>
          <w:b/>
          <w:bCs/>
          <w:sz w:val="32"/>
          <w:szCs w:val="32"/>
        </w:rPr>
      </w:pPr>
      <w:r w:rsidRPr="00B2181D">
        <w:rPr>
          <w:b/>
          <w:bCs/>
          <w:sz w:val="32"/>
          <w:szCs w:val="32"/>
        </w:rPr>
        <w:t>CONVENŢIA REFERITOARE LA CONTRACTUL INTERNAŢIONA DE MĂRFURI (CMR)</w:t>
      </w:r>
    </w:p>
    <w:p w:rsidR="00D25404" w:rsidRDefault="00D25404" w:rsidP="00D25404">
      <w:pPr>
        <w:ind w:left="360"/>
        <w:jc w:val="both"/>
        <w:rPr>
          <w:bCs/>
          <w:sz w:val="28"/>
        </w:rPr>
      </w:pP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Semnată în 1956 – 19 mai, la Geneva, CMR reglementează în mod uniform condiţiile generale în care se încheie şi se execută contractul de transport rutier de mărfuri, reprezentat prin „Scrisoarea de trăsură tip CMR”.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 xml:space="preserve">Ţara noastră a aderat la CMR în 1972 (decret 451/20.II.1972) şi a intrat în vigoare pentru România la data de </w:t>
      </w:r>
      <w:r>
        <w:rPr>
          <w:bCs/>
          <w:sz w:val="28"/>
          <w:lang w:val="fr-FR"/>
        </w:rPr>
        <w:t xml:space="preserve">23.04.1973 </w:t>
      </w:r>
      <w:r>
        <w:rPr>
          <w:bCs/>
          <w:sz w:val="28"/>
        </w:rPr>
        <w:t>la 90 zile după depunerea instrumentelor de notificare la ONU.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</w:p>
    <w:p w:rsidR="00D25404" w:rsidRDefault="00D25404" w:rsidP="00D25404">
      <w:pPr>
        <w:jc w:val="center"/>
        <w:rPr>
          <w:b/>
          <w:bCs/>
          <w:sz w:val="32"/>
          <w:szCs w:val="32"/>
        </w:rPr>
      </w:pPr>
    </w:p>
    <w:p w:rsidR="00D25404" w:rsidRDefault="00D25404" w:rsidP="00D25404">
      <w:pPr>
        <w:jc w:val="center"/>
        <w:rPr>
          <w:b/>
          <w:bCs/>
          <w:sz w:val="32"/>
          <w:szCs w:val="32"/>
        </w:rPr>
      </w:pPr>
    </w:p>
    <w:p w:rsidR="00D25404" w:rsidRDefault="00D25404" w:rsidP="00D25404">
      <w:pPr>
        <w:jc w:val="center"/>
        <w:rPr>
          <w:b/>
          <w:bCs/>
          <w:sz w:val="32"/>
          <w:szCs w:val="32"/>
        </w:rPr>
      </w:pPr>
    </w:p>
    <w:p w:rsidR="00D25404" w:rsidRPr="00B2181D" w:rsidRDefault="00D25404" w:rsidP="00D25404">
      <w:pPr>
        <w:jc w:val="center"/>
        <w:rPr>
          <w:b/>
          <w:bCs/>
          <w:sz w:val="32"/>
          <w:szCs w:val="32"/>
        </w:rPr>
      </w:pPr>
      <w:r w:rsidRPr="00B2181D">
        <w:rPr>
          <w:b/>
          <w:bCs/>
          <w:sz w:val="32"/>
          <w:szCs w:val="32"/>
        </w:rPr>
        <w:lastRenderedPageBreak/>
        <w:t>CONVENŢIA VAMALĂ REFERITOARE LA TRANSPORTUL INTERNAŢIONAL SUB ACOPERIREA CARNETELOR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Convenţia TIR încheiată la Geneva la 15 ianuarie 1959 acordă transporturilor de mărfuri avantaje de ordin vamal, menite să faciliteze traficul internaţional de mărfuri. Ţara noastră a aderat în 1963 (Decret 429/12.IX.1963).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TIR presupune transportarea mărfurilor fără contracte vamale la vămile de tranzit, scutindu-se durata de transport ceea ce atrage după sine a reducere a cheltuielilor de staţionare a autovehiculului şi echipajului în străinătate şi eliminarea garanţiilor vamale în valută.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Fiecare carnet TIR se compune din două pagini, un valet şi o matcă nr.1 şi nr.2 (numite manifestul galben).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Pentru fiecare vehicul rutier se întocmeşte un carnet Tir, valabil pentru o singură călătorie.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Organele vamale din ţara de expediţie, după controlul vamal al autocamionului respectiv, aplică acestuia sigiliile TIR.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Organele vamale din ţările de tranzit controlează camioanele numai sumar verificând în special sigiliilor. În cazuri extreme pot ordona desfacerea unor sigilii care apoi cor fi înlocuite cu altele a căror serie va fi menţionată în carnetul TIR purtat de conducătorul auto respectiv.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</w:p>
    <w:p w:rsidR="00D25404" w:rsidRPr="00B2181D" w:rsidRDefault="00D25404" w:rsidP="00D25404">
      <w:pPr>
        <w:ind w:firstLine="993"/>
        <w:jc w:val="center"/>
        <w:rPr>
          <w:b/>
          <w:bCs/>
          <w:sz w:val="32"/>
          <w:szCs w:val="32"/>
        </w:rPr>
      </w:pPr>
      <w:r w:rsidRPr="00B2181D">
        <w:rPr>
          <w:b/>
          <w:bCs/>
          <w:sz w:val="32"/>
          <w:szCs w:val="32"/>
        </w:rPr>
        <w:t>ACORDUL CU PRIVIRE LA TRANSPORTURILE INTERNAŢIONALE DE MĂRFURI PERISABILE ŞI INSTALAŢIILE SPECIALE PENTRU ACESTE TRANSPORTURI (ATP)</w:t>
      </w:r>
    </w:p>
    <w:p w:rsidR="00D25404" w:rsidRPr="00B2181D" w:rsidRDefault="00D25404" w:rsidP="00D25404">
      <w:pPr>
        <w:ind w:firstLine="993"/>
        <w:jc w:val="both"/>
        <w:rPr>
          <w:b/>
          <w:bCs/>
          <w:sz w:val="28"/>
        </w:rPr>
      </w:pPr>
    </w:p>
    <w:p w:rsidR="00D25404" w:rsidRPr="00B2181D" w:rsidRDefault="00D25404" w:rsidP="00D25404">
      <w:pPr>
        <w:ind w:firstLine="993"/>
        <w:jc w:val="both"/>
        <w:rPr>
          <w:b/>
          <w:bCs/>
          <w:sz w:val="28"/>
        </w:rPr>
      </w:pP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 xml:space="preserve">A luat fiinţă în 1955, ca urmare a iniţiativei Comisiei Economice ONU pentru Europa şi are următoarele </w:t>
      </w:r>
      <w:r>
        <w:rPr>
          <w:bCs/>
          <w:i/>
          <w:sz w:val="28"/>
        </w:rPr>
        <w:t>obiective</w:t>
      </w:r>
      <w:r>
        <w:rPr>
          <w:bCs/>
          <w:sz w:val="28"/>
        </w:rPr>
        <w:t>: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Coordonarea între grupările naţionale aderente;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Elaborarea unor studii pe probleme legate de transport rutier de mărfuri sub temperatură dirijată;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Studiul tarifelor şi al condiţiilor de transport referitoare la transportul rutier european cu vehicule sub temperatură dirijată.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Transfrigorente Europe nu este o simplă asociaţie ci un organism care favorizează cooperarea economică şi tehnică pe plan european, elaborarea unor convenţii tarifare, uniformizarea condiţiilor de transport, etc.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Acestui organism i se datorează elaborarea Acordului European pentru transportul mărfurilor perisabile.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</w:p>
    <w:p w:rsidR="00D25404" w:rsidRDefault="00D25404" w:rsidP="00D25404">
      <w:pPr>
        <w:ind w:firstLine="993"/>
        <w:jc w:val="both"/>
        <w:rPr>
          <w:bCs/>
          <w:sz w:val="28"/>
        </w:rPr>
      </w:pPr>
    </w:p>
    <w:p w:rsidR="00D25404" w:rsidRDefault="00D25404" w:rsidP="00D25404">
      <w:pPr>
        <w:ind w:firstLine="993"/>
        <w:jc w:val="center"/>
        <w:rPr>
          <w:bCs/>
          <w:sz w:val="28"/>
        </w:rPr>
      </w:pPr>
    </w:p>
    <w:p w:rsidR="00D25404" w:rsidRDefault="00D25404" w:rsidP="00D25404">
      <w:pPr>
        <w:ind w:firstLine="993"/>
        <w:jc w:val="center"/>
        <w:rPr>
          <w:b/>
          <w:bCs/>
          <w:sz w:val="32"/>
          <w:szCs w:val="32"/>
        </w:rPr>
      </w:pPr>
      <w:r w:rsidRPr="00B2181D">
        <w:rPr>
          <w:b/>
          <w:bCs/>
          <w:sz w:val="32"/>
          <w:szCs w:val="32"/>
        </w:rPr>
        <w:t>ACORDURI BILATERALE RUTIERE</w:t>
      </w:r>
    </w:p>
    <w:p w:rsidR="00D25404" w:rsidRDefault="00D25404" w:rsidP="00D25404">
      <w:pPr>
        <w:ind w:firstLine="993"/>
        <w:jc w:val="center"/>
        <w:rPr>
          <w:b/>
          <w:bCs/>
          <w:sz w:val="32"/>
          <w:szCs w:val="32"/>
        </w:rPr>
      </w:pPr>
    </w:p>
    <w:p w:rsidR="00D25404" w:rsidRPr="00B2181D" w:rsidRDefault="00D25404" w:rsidP="00D25404">
      <w:pPr>
        <w:ind w:firstLine="993"/>
        <w:jc w:val="center"/>
        <w:rPr>
          <w:b/>
          <w:bCs/>
          <w:sz w:val="32"/>
          <w:szCs w:val="32"/>
        </w:rPr>
      </w:pP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Deşi există un număr mare de acorduri şi convenţii multilaterale în domeniul transporturilor internaţionale rutiere, acestea n-au putut reglementa toate aspectele uneori foarte contradictorii de le o ţară la alta. În acest context, aproape toate ţările au reglementat unele aspecte specifice prin acorduri bilaterale.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 xml:space="preserve">Prin intermediul acestora părţile îşi acordă a serie de </w:t>
      </w:r>
      <w:r>
        <w:rPr>
          <w:bCs/>
          <w:i/>
          <w:sz w:val="28"/>
        </w:rPr>
        <w:t>avantaje</w:t>
      </w:r>
      <w:r>
        <w:rPr>
          <w:bCs/>
          <w:sz w:val="28"/>
        </w:rPr>
        <w:t xml:space="preserve"> reciproc, cum ar fi: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Necontingentarea numărului de curse şi scutirea reciprocă de orice fel de taxe şi impozite;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Scutiri reciproce de orice fel de taxe şi impozite pentru un număr contingentat de călătorii pe bază de autorizaţie;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Reducerea parţială a taxelor şi impozitelor pentru un număr contingentat de călătorii;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Acordarea unor contingente de călătorii pe bază de autorizaţie cu plata integrală a taxelor şi impozitelor.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i/>
          <w:sz w:val="28"/>
        </w:rPr>
        <w:t>Autorizaţiile de transport de mărfuri</w:t>
      </w:r>
      <w:r>
        <w:rPr>
          <w:bCs/>
          <w:sz w:val="28"/>
        </w:rPr>
        <w:t>, care se schimbă reciproc cu partenerii la acorduri bilaterale pot fi următoarele: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Autorizaţii pentru transporturi directe care permit efectuarea transportului între 2 ţări cu puncte de încărcare şi descărcare în ţări diferite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Autorizaţii de tranzit;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Autorizaţii pentru terţe ţări care permit autovehiculelor aparţinând unei părţi să efectueze transporturi între un punct situat pe teritoriul celeilalte părţi şi un punct situat pe teritoriul unui stat terţ;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- Autorizaţii pentru micul trafic de frontieră.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  <w:r>
        <w:rPr>
          <w:bCs/>
          <w:sz w:val="28"/>
        </w:rPr>
        <w:t>În funcţie de interesele fiecărei dintre părţi şi conform celor convenite, autorizaţiile pot fi scutite de taxe sau pot face înţelegeri pentru plata parţială sau totală a acestora.</w:t>
      </w:r>
    </w:p>
    <w:p w:rsidR="00D25404" w:rsidRDefault="00D25404" w:rsidP="00D25404">
      <w:pPr>
        <w:ind w:firstLine="993"/>
        <w:jc w:val="both"/>
        <w:rPr>
          <w:bCs/>
          <w:sz w:val="28"/>
        </w:rPr>
      </w:pPr>
    </w:p>
    <w:p w:rsidR="00D25404" w:rsidRDefault="00D25404" w:rsidP="00D25404">
      <w:pPr>
        <w:ind w:firstLine="993"/>
        <w:jc w:val="both"/>
        <w:rPr>
          <w:bCs/>
          <w:sz w:val="28"/>
        </w:rPr>
      </w:pPr>
    </w:p>
    <w:p w:rsidR="00D25404" w:rsidRDefault="00D25404" w:rsidP="00D25404">
      <w:pPr>
        <w:ind w:firstLine="993"/>
        <w:jc w:val="both"/>
        <w:rPr>
          <w:bCs/>
          <w:sz w:val="28"/>
        </w:rPr>
      </w:pPr>
    </w:p>
    <w:p w:rsidR="00D25404" w:rsidRDefault="00D25404" w:rsidP="00D25404">
      <w:pPr>
        <w:ind w:firstLine="993"/>
        <w:jc w:val="both"/>
        <w:rPr>
          <w:bCs/>
          <w:sz w:val="28"/>
        </w:rPr>
      </w:pPr>
    </w:p>
    <w:p w:rsidR="00D25404" w:rsidRDefault="00D25404" w:rsidP="00D25404">
      <w:pPr>
        <w:ind w:firstLine="993"/>
        <w:jc w:val="both"/>
        <w:rPr>
          <w:bCs/>
          <w:sz w:val="28"/>
        </w:rPr>
      </w:pPr>
    </w:p>
    <w:p w:rsidR="00D25404" w:rsidRDefault="00D25404" w:rsidP="00D25404">
      <w:pPr>
        <w:ind w:firstLine="993"/>
        <w:jc w:val="both"/>
        <w:rPr>
          <w:bCs/>
          <w:sz w:val="28"/>
        </w:rPr>
      </w:pPr>
    </w:p>
    <w:p w:rsidR="00D25404" w:rsidRDefault="00D25404"/>
    <w:sectPr w:rsidR="00D25404" w:rsidSect="00E3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88C"/>
    <w:multiLevelType w:val="singleLevel"/>
    <w:tmpl w:val="14D8252E"/>
    <w:lvl w:ilvl="0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25404"/>
    <w:rsid w:val="00D25404"/>
    <w:rsid w:val="00E3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2020-03-17T14:42:00Z</dcterms:created>
  <dcterms:modified xsi:type="dcterms:W3CDTF">2020-03-17T14:43:00Z</dcterms:modified>
</cp:coreProperties>
</file>